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lineRule="auto"/>
        <w:ind w:firstLine="0"/>
        <w:jc w:val="center"/>
        <w:rPr>
          <w:sz w:val="24"/>
          <w:szCs w:val="24"/>
          <w:vertAlign w:val="baseline"/>
        </w:rPr>
      </w:pPr>
      <w:r w:rsidDel="00000000" w:rsidR="00000000" w:rsidRPr="00000000">
        <w:rPr>
          <w:sz w:val="24"/>
          <w:szCs w:val="24"/>
          <w:vertAlign w:val="baseline"/>
          <w:rtl w:val="0"/>
        </w:rPr>
        <w:t xml:space="preserve">AVISO COMBINADO DE CONSULTA DE NO IMPACTO SIGNIFICATIVO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lineRule="auto"/>
        <w:ind w:firstLine="0"/>
        <w:jc w:val="center"/>
        <w:rPr>
          <w:sz w:val="24"/>
          <w:szCs w:val="24"/>
          <w:vertAlign w:val="baseline"/>
        </w:rPr>
      </w:pPr>
      <w:r w:rsidDel="00000000" w:rsidR="00000000" w:rsidRPr="00000000">
        <w:rPr>
          <w:sz w:val="24"/>
          <w:szCs w:val="24"/>
          <w:vertAlign w:val="baseline"/>
          <w:rtl w:val="0"/>
        </w:rPr>
        <w:t xml:space="preserve">E INTENCIÓN DE SOLICITAR LIBERACIÓN DE FONDOS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lineRule="auto"/>
        <w:ind w:firstLine="0"/>
        <w:rPr>
          <w:sz w:val="24"/>
          <w:szCs w:val="24"/>
          <w:vertAlign w:val="baseline"/>
        </w:rPr>
      </w:pPr>
      <w:r w:rsidDel="00000000" w:rsidR="00000000" w:rsidRPr="00000000">
        <w:rPr>
          <w:rtl w:val="0"/>
        </w:rPr>
      </w:r>
    </w:p>
    <w:p w:rsidR="00000000" w:rsidDel="00000000" w:rsidP="00000000" w:rsidRDefault="00000000" w:rsidRPr="00000000" w14:paraId="00000004">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Rule="auto"/>
        <w:rPr>
          <w:b w:val="0"/>
          <w:i w:val="1"/>
          <w:sz w:val="24"/>
          <w:szCs w:val="24"/>
        </w:rPr>
      </w:pPr>
      <w:bookmarkStart w:colFirst="0" w:colLast="0" w:name="_gjdgxs" w:id="0"/>
      <w:bookmarkEnd w:id="0"/>
      <w:r w:rsidDel="00000000" w:rsidR="00000000" w:rsidRPr="00000000">
        <w:rPr>
          <w:i w:val="1"/>
          <w:sz w:val="24"/>
          <w:szCs w:val="24"/>
          <w:rtl w:val="0"/>
        </w:rPr>
        <w:t xml:space="preserve">Fecha de publicación del aviso:</w:t>
      </w:r>
      <w:r w:rsidDel="00000000" w:rsidR="00000000" w:rsidRPr="00000000">
        <w:rPr>
          <w:b w:val="0"/>
          <w:i w:val="1"/>
          <w:sz w:val="24"/>
          <w:szCs w:val="24"/>
          <w:rtl w:val="0"/>
        </w:rPr>
        <w:t xml:space="preserve"> 23 de enero de 2025</w:t>
      </w:r>
    </w:p>
    <w:p w:rsidR="00000000" w:rsidDel="00000000" w:rsidP="00000000" w:rsidRDefault="00000000" w:rsidRPr="00000000" w14:paraId="00000005">
      <w:pPr>
        <w:widowControl w:val="1"/>
        <w:spacing w:after="0" w:lineRule="auto"/>
        <w:jc w:val="center"/>
        <w:rPr>
          <w:sz w:val="28"/>
          <w:szCs w:val="28"/>
        </w:rPr>
      </w:pPr>
      <w:r w:rsidDel="00000000" w:rsidR="00000000" w:rsidRPr="00000000">
        <w:rPr>
          <w:rtl w:val="0"/>
        </w:rPr>
      </w:r>
    </w:p>
    <w:p w:rsidR="00000000" w:rsidDel="00000000" w:rsidP="00000000" w:rsidRDefault="00000000" w:rsidRPr="00000000" w14:paraId="00000006">
      <w:pPr>
        <w:widowControl w:val="1"/>
        <w:spacing w:after="0" w:lineRule="auto"/>
        <w:rPr>
          <w:sz w:val="24"/>
          <w:szCs w:val="24"/>
        </w:rPr>
      </w:pPr>
      <w:r w:rsidDel="00000000" w:rsidR="00000000" w:rsidRPr="00000000">
        <w:rPr>
          <w:sz w:val="24"/>
          <w:szCs w:val="24"/>
          <w:rtl w:val="0"/>
        </w:rPr>
        <w:t xml:space="preserve">Nombre del proyecto: Burleson Co - 24-065-057-E567-Street-Drainage</w:t>
      </w:r>
    </w:p>
    <w:p w:rsidR="00000000" w:rsidDel="00000000" w:rsidP="00000000" w:rsidRDefault="00000000" w:rsidRPr="00000000" w14:paraId="00000007">
      <w:pPr>
        <w:widowControl w:val="1"/>
        <w:spacing w:after="0" w:lineRule="auto"/>
        <w:rPr>
          <w:sz w:val="24"/>
          <w:szCs w:val="24"/>
        </w:rPr>
      </w:pPr>
      <w:r w:rsidDel="00000000" w:rsidR="00000000" w:rsidRPr="00000000">
        <w:rPr>
          <w:sz w:val="24"/>
          <w:szCs w:val="24"/>
          <w:rtl w:val="0"/>
        </w:rPr>
        <w:t xml:space="preserve">Entidad responsable: Condado de Burleson</w:t>
      </w:r>
    </w:p>
    <w:p w:rsidR="00000000" w:rsidDel="00000000" w:rsidP="00000000" w:rsidRDefault="00000000" w:rsidRPr="00000000" w14:paraId="00000008">
      <w:pPr>
        <w:widowControl w:val="1"/>
        <w:spacing w:after="0" w:lineRule="auto"/>
        <w:rPr>
          <w:sz w:val="24"/>
          <w:szCs w:val="24"/>
        </w:rPr>
      </w:pPr>
      <w:r w:rsidDel="00000000" w:rsidR="00000000" w:rsidRPr="00000000">
        <w:rPr>
          <w:sz w:val="24"/>
          <w:szCs w:val="24"/>
          <w:rtl w:val="0"/>
        </w:rPr>
        <w:t xml:space="preserve">Identificador estatal/local: 24-065-057-E567 / B-18-DP-48-0002 </w:t>
      </w:r>
    </w:p>
    <w:p w:rsidR="00000000" w:rsidDel="00000000" w:rsidP="00000000" w:rsidRDefault="00000000" w:rsidRPr="00000000" w14:paraId="00000009">
      <w:pPr>
        <w:widowControl w:val="1"/>
        <w:spacing w:after="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rPr>
          <w:b w:val="1"/>
          <w:sz w:val="24"/>
          <w:szCs w:val="24"/>
        </w:rPr>
      </w:pPr>
      <w:r w:rsidDel="00000000" w:rsidR="00000000" w:rsidRPr="00000000">
        <w:rPr>
          <w:b w:val="1"/>
          <w:sz w:val="24"/>
          <w:szCs w:val="24"/>
          <w:rtl w:val="0"/>
        </w:rPr>
        <w:t xml:space="preserve">Contacto: </w:t>
      </w:r>
    </w:p>
    <w:p w:rsidR="00000000" w:rsidDel="00000000" w:rsidP="00000000" w:rsidRDefault="00000000" w:rsidRPr="00000000" w14:paraId="0000000B">
      <w:pPr>
        <w:widowControl w:val="1"/>
        <w:spacing w:after="0" w:lineRule="auto"/>
        <w:rPr>
          <w:sz w:val="24"/>
          <w:szCs w:val="24"/>
        </w:rPr>
      </w:pPr>
      <w:r w:rsidDel="00000000" w:rsidR="00000000" w:rsidRPr="00000000">
        <w:rPr>
          <w:sz w:val="24"/>
          <w:szCs w:val="24"/>
          <w:rtl w:val="0"/>
        </w:rPr>
        <w:t xml:space="preserve">Condado de Burleson</w:t>
      </w:r>
    </w:p>
    <w:p w:rsidR="00000000" w:rsidDel="00000000" w:rsidP="00000000" w:rsidRDefault="00000000" w:rsidRPr="00000000" w14:paraId="0000000C">
      <w:pPr>
        <w:widowControl w:val="1"/>
        <w:spacing w:after="0" w:lineRule="auto"/>
        <w:rPr>
          <w:sz w:val="24"/>
          <w:szCs w:val="24"/>
        </w:rPr>
      </w:pPr>
      <w:r w:rsidDel="00000000" w:rsidR="00000000" w:rsidRPr="00000000">
        <w:rPr>
          <w:sz w:val="24"/>
          <w:szCs w:val="24"/>
          <w:rtl w:val="0"/>
        </w:rPr>
        <w:t xml:space="preserve">100 West Buck St.</w:t>
      </w:r>
    </w:p>
    <w:p w:rsidR="00000000" w:rsidDel="00000000" w:rsidP="00000000" w:rsidRDefault="00000000" w:rsidRPr="00000000" w14:paraId="0000000D">
      <w:pPr>
        <w:widowControl w:val="1"/>
        <w:spacing w:after="0" w:lineRule="auto"/>
        <w:rPr>
          <w:sz w:val="24"/>
          <w:szCs w:val="24"/>
        </w:rPr>
      </w:pPr>
      <w:r w:rsidDel="00000000" w:rsidR="00000000" w:rsidRPr="00000000">
        <w:rPr>
          <w:sz w:val="24"/>
          <w:szCs w:val="24"/>
          <w:rtl w:val="0"/>
        </w:rPr>
        <w:t xml:space="preserve">Caldwell, Texas 77836</w:t>
      </w:r>
    </w:p>
    <w:p w:rsidR="00000000" w:rsidDel="00000000" w:rsidP="00000000" w:rsidRDefault="00000000" w:rsidRPr="00000000" w14:paraId="0000000E">
      <w:pPr>
        <w:widowControl w:val="1"/>
        <w:spacing w:after="0" w:lineRule="auto"/>
        <w:rPr>
          <w:sz w:val="24"/>
          <w:szCs w:val="24"/>
        </w:rPr>
      </w:pPr>
      <w:r w:rsidDel="00000000" w:rsidR="00000000" w:rsidRPr="00000000">
        <w:rPr>
          <w:sz w:val="24"/>
          <w:szCs w:val="24"/>
          <w:rtl w:val="0"/>
        </w:rPr>
        <w:t xml:space="preserve">TELÉFONO: (979) 567-2333</w:t>
      </w:r>
    </w:p>
    <w:p w:rsidR="00000000" w:rsidDel="00000000" w:rsidP="00000000" w:rsidRDefault="00000000" w:rsidRPr="00000000" w14:paraId="0000000F">
      <w:pPr>
        <w:widowControl w:val="1"/>
        <w:spacing w:after="0" w:lineRule="auto"/>
        <w:rPr>
          <w:sz w:val="24"/>
          <w:szCs w:val="24"/>
        </w:rPr>
      </w:pPr>
      <w:r w:rsidDel="00000000" w:rsidR="00000000" w:rsidRPr="00000000">
        <w:rPr>
          <w:sz w:val="24"/>
          <w:szCs w:val="24"/>
          <w:rtl w:val="0"/>
        </w:rPr>
        <w:t xml:space="preserve">Correo electrónico: contact@burlesoncounty.org</w:t>
      </w:r>
    </w:p>
    <w:p w:rsidR="00000000" w:rsidDel="00000000" w:rsidP="00000000" w:rsidRDefault="00000000" w:rsidRPr="00000000" w14:paraId="00000010">
      <w:pPr>
        <w:widowControl w:val="1"/>
        <w:spacing w:after="0" w:lineRule="auto"/>
        <w:rPr>
          <w:sz w:val="24"/>
          <w:szCs w:val="24"/>
        </w:rPr>
      </w:pPr>
      <w:r w:rsidDel="00000000" w:rsidR="00000000" w:rsidRPr="00000000">
        <w:rPr>
          <w:rtl w:val="0"/>
        </w:rPr>
      </w:r>
    </w:p>
    <w:p w:rsidR="00000000" w:rsidDel="00000000" w:rsidP="00000000" w:rsidRDefault="00000000" w:rsidRPr="00000000" w14:paraId="00000011">
      <w:pPr>
        <w:pageBreakBefore w:val="0"/>
        <w:widowControl w:val="1"/>
        <w:pBdr>
          <w:top w:space="0" w:sz="0" w:val="nil"/>
          <w:left w:space="0" w:sz="0" w:val="nil"/>
          <w:bottom w:space="0" w:sz="0" w:val="nil"/>
          <w:right w:space="0" w:sz="0" w:val="nil"/>
          <w:between w:space="0" w:sz="0" w:val="nil"/>
        </w:pBdr>
        <w:shd w:fill="auto" w:val="clear"/>
        <w:spacing w:after="0" w:lineRule="auto"/>
        <w:rPr>
          <w:b w:val="1"/>
          <w:sz w:val="24"/>
          <w:szCs w:val="24"/>
        </w:rPr>
      </w:pPr>
      <w:r w:rsidDel="00000000" w:rsidR="00000000" w:rsidRPr="00000000">
        <w:rPr>
          <w:sz w:val="24"/>
          <w:szCs w:val="24"/>
          <w:rtl w:val="0"/>
        </w:rPr>
        <w:t xml:space="preserve">Estos avisos deberán satisfacer dos requisitos procesales separados pero relacionados para las actividades que realizará el condado de Burleson.</w:t>
      </w:r>
      <w:r w:rsidDel="00000000" w:rsidR="00000000" w:rsidRPr="00000000">
        <w:rPr>
          <w:b w:val="1"/>
          <w:sz w:val="24"/>
          <w:szCs w:val="24"/>
          <w:rtl w:val="0"/>
        </w:rPr>
        <w:t xml:space="preserv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sz w:val="24"/>
          <w:szCs w:val="24"/>
          <w:rtl w:val="0"/>
        </w:rPr>
        <w:t xml:space="preserve">SOLICITUD DE LIBERACIÓN DE FONDOS</w:t>
      </w:r>
    </w:p>
    <w:p w:rsidR="00000000" w:rsidDel="00000000" w:rsidP="00000000" w:rsidRDefault="00000000" w:rsidRPr="00000000" w14:paraId="00000014">
      <w:pPr>
        <w:pageBreakBefore w:val="0"/>
        <w:widowControl w:val="1"/>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sz w:val="24"/>
          <w:szCs w:val="24"/>
          <w:rtl w:val="0"/>
        </w:rPr>
        <w:t xml:space="preserve">En o alrededor </w:t>
      </w:r>
      <w:r w:rsidDel="00000000" w:rsidR="00000000" w:rsidRPr="00000000">
        <w:rPr>
          <w:b w:val="1"/>
          <w:sz w:val="24"/>
          <w:szCs w:val="24"/>
          <w:rtl w:val="0"/>
        </w:rPr>
        <w:t xml:space="preserve">12 de febrero de 2025,</w:t>
      </w:r>
      <w:r w:rsidDel="00000000" w:rsidR="00000000" w:rsidRPr="00000000">
        <w:rPr>
          <w:b w:val="1"/>
          <w:sz w:val="24"/>
          <w:szCs w:val="24"/>
          <w:rtl w:val="0"/>
        </w:rPr>
        <w:t xml:space="preserve"> </w:t>
      </w:r>
      <w:r w:rsidDel="00000000" w:rsidR="00000000" w:rsidRPr="00000000">
        <w:rPr>
          <w:sz w:val="24"/>
          <w:szCs w:val="24"/>
          <w:rtl w:val="0"/>
        </w:rPr>
        <w:t xml:space="preserve">Condado de Burleson</w:t>
      </w:r>
      <w:r w:rsidDel="00000000" w:rsidR="00000000" w:rsidRPr="00000000">
        <w:rPr>
          <w:b w:val="1"/>
          <w:sz w:val="24"/>
          <w:szCs w:val="24"/>
          <w:rtl w:val="0"/>
        </w:rPr>
        <w:t xml:space="preserve">,</w:t>
      </w:r>
      <w:r w:rsidDel="00000000" w:rsidR="00000000" w:rsidRPr="00000000">
        <w:rPr>
          <w:sz w:val="24"/>
          <w:szCs w:val="24"/>
          <w:rtl w:val="0"/>
        </w:rPr>
        <w:t xml:space="preserve"> presentará una solicitud a la Oficina General de Tierras (GLO) para la liberación de los fondos de Mitigación de Subvenciones en Bloque para el Desarrollo Comunitario (CDBG-MIT) asignados en virtud de la Ley de Asignaciones Suplementarias para Requisitos de Ayuda en Casos de Desastre de 2018 (Pub. L. 115-123), como modificado para emprender un proyecto conocido como</w:t>
      </w:r>
      <w:r w:rsidDel="00000000" w:rsidR="00000000" w:rsidRPr="00000000">
        <w:rPr>
          <w:b w:val="1"/>
          <w:sz w:val="24"/>
          <w:szCs w:val="24"/>
          <w:rtl w:val="0"/>
        </w:rPr>
        <w:t xml:space="preserve"> Burleson Co - 2</w:t>
      </w:r>
      <w:r w:rsidDel="00000000" w:rsidR="00000000" w:rsidRPr="00000000">
        <w:rPr>
          <w:b w:val="1"/>
          <w:sz w:val="24"/>
          <w:szCs w:val="24"/>
          <w:rtl w:val="0"/>
        </w:rPr>
        <w:t xml:space="preserve">4-065-057-E567-Drenaje-de-la-calle, 24-065-057-E567 / </w:t>
      </w:r>
      <w:r w:rsidDel="00000000" w:rsidR="00000000" w:rsidRPr="00000000">
        <w:rPr>
          <w:rFonts w:ascii="Arial" w:cs="Arial" w:eastAsia="Arial" w:hAnsi="Arial"/>
          <w:b w:val="1"/>
          <w:highlight w:val="white"/>
          <w:rtl w:val="0"/>
        </w:rPr>
        <w:t xml:space="preserve">B-18-DP-48-0002</w:t>
      </w:r>
      <w:r w:rsidDel="00000000" w:rsidR="00000000" w:rsidRPr="00000000">
        <w:rPr>
          <w:rFonts w:ascii="Arial" w:cs="Arial" w:eastAsia="Arial" w:hAnsi="Arial"/>
          <w:highlight w:val="white"/>
          <w:rtl w:val="0"/>
        </w:rPr>
        <w:t xml:space="preserve"> </w:t>
      </w:r>
      <w:r w:rsidDel="00000000" w:rsidR="00000000" w:rsidRPr="00000000">
        <w:rPr>
          <w:sz w:val="24"/>
          <w:szCs w:val="24"/>
          <w:rtl w:val="0"/>
        </w:rPr>
        <w:t xml:space="preserve">para </w:t>
      </w:r>
    </w:p>
    <w:p w:rsidR="00000000" w:rsidDel="00000000" w:rsidP="00000000" w:rsidRDefault="00000000" w:rsidRPr="00000000" w14:paraId="00000015">
      <w:pPr>
        <w:widowControl w:val="1"/>
        <w:spacing w:after="0" w:lineRule="auto"/>
        <w:rPr>
          <w:b w:val="1"/>
          <w:sz w:val="24"/>
          <w:szCs w:val="24"/>
        </w:rPr>
      </w:pPr>
      <w:r w:rsidDel="00000000" w:rsidR="00000000" w:rsidRPr="00000000">
        <w:rPr>
          <w:b w:val="1"/>
          <w:sz w:val="24"/>
          <w:szCs w:val="24"/>
          <w:rtl w:val="0"/>
        </w:rPr>
        <w:t xml:space="preserve">proporcionando mejores drenajes pluviales y carreteras a los residentes en el área del proyecto y para ayudar a mitigar inundaciones localizadas y proporcionar rutas de evacuación adecuadas para los residentes y los socorristas de EMS. </w:t>
      </w:r>
    </w:p>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hd w:fill="auto" w:val="clear"/>
        <w:spacing w:after="0" w:lineRule="auto"/>
        <w:rPr>
          <w:b w:val="1"/>
          <w:sz w:val="24"/>
          <w:szCs w:val="24"/>
        </w:rPr>
      </w:pPr>
      <w:r w:rsidDel="00000000" w:rsidR="00000000" w:rsidRPr="00000000">
        <w:rPr>
          <w:rtl w:val="0"/>
        </w:rPr>
      </w:r>
    </w:p>
    <w:p w:rsidR="00000000" w:rsidDel="00000000" w:rsidP="00000000" w:rsidRDefault="00000000" w:rsidRPr="00000000" w14:paraId="00000017">
      <w:pPr>
        <w:widowControl w:val="1"/>
        <w:spacing w:after="0" w:lineRule="auto"/>
        <w:rPr>
          <w:b w:val="1"/>
          <w:sz w:val="24"/>
          <w:szCs w:val="24"/>
        </w:rPr>
      </w:pPr>
      <w:r w:rsidDel="00000000" w:rsidR="00000000" w:rsidRPr="00000000">
        <w:rPr>
          <w:b w:val="1"/>
          <w:sz w:val="24"/>
          <w:szCs w:val="24"/>
          <w:rtl w:val="0"/>
        </w:rPr>
        <w:t xml:space="preserve">Ubicación del proyecto:</w:t>
      </w:r>
    </w:p>
    <w:p w:rsidR="00000000" w:rsidDel="00000000" w:rsidP="00000000" w:rsidRDefault="00000000" w:rsidRPr="00000000" w14:paraId="00000018">
      <w:pPr>
        <w:widowControl w:val="1"/>
        <w:spacing w:after="0" w:lineRule="auto"/>
        <w:rPr>
          <w:sz w:val="24"/>
          <w:szCs w:val="24"/>
        </w:rPr>
      </w:pPr>
      <w:r w:rsidDel="00000000" w:rsidR="00000000" w:rsidRPr="00000000">
        <w:rPr>
          <w:sz w:val="24"/>
          <w:szCs w:val="24"/>
          <w:rtl w:val="0"/>
        </w:rPr>
        <w:t xml:space="preserve">Todo el trabajo se realizará en el condado de Burleson, Texas, en las siguientes ubicaciones:</w:t>
      </w:r>
    </w:p>
    <w:p w:rsidR="00000000" w:rsidDel="00000000" w:rsidP="00000000" w:rsidRDefault="00000000" w:rsidRPr="00000000" w14:paraId="00000019">
      <w:pPr>
        <w:widowControl w:val="1"/>
        <w:spacing w:after="0" w:lineRule="auto"/>
        <w:rPr>
          <w:sz w:val="24"/>
          <w:szCs w:val="24"/>
        </w:rPr>
      </w:pPr>
      <w:r w:rsidDel="00000000" w:rsidR="00000000" w:rsidRPr="00000000">
        <w:rPr>
          <w:rtl w:val="0"/>
        </w:rPr>
      </w:r>
    </w:p>
    <w:p w:rsidR="00000000" w:rsidDel="00000000" w:rsidP="00000000" w:rsidRDefault="00000000" w:rsidRPr="00000000" w14:paraId="0000001A">
      <w:pPr>
        <w:widowControl w:val="1"/>
        <w:numPr>
          <w:ilvl w:val="0"/>
          <w:numId w:val="3"/>
        </w:numPr>
        <w:spacing w:after="0" w:lineRule="auto"/>
        <w:ind w:left="720" w:hanging="360"/>
        <w:rPr>
          <w:sz w:val="24"/>
          <w:szCs w:val="24"/>
        </w:rPr>
      </w:pPr>
      <w:r w:rsidDel="00000000" w:rsidR="00000000" w:rsidRPr="00000000">
        <w:rPr>
          <w:sz w:val="24"/>
          <w:szCs w:val="24"/>
          <w:rtl w:val="0"/>
        </w:rPr>
        <w:t xml:space="preserve">Chestnut Dr. desde Elm Dr. hasta 70' al noroeste de Wagon Trail </w:t>
      </w:r>
    </w:p>
    <w:p w:rsidR="00000000" w:rsidDel="00000000" w:rsidP="00000000" w:rsidRDefault="00000000" w:rsidRPr="00000000" w14:paraId="0000001B">
      <w:pPr>
        <w:widowControl w:val="1"/>
        <w:numPr>
          <w:ilvl w:val="0"/>
          <w:numId w:val="3"/>
        </w:numPr>
        <w:spacing w:after="0" w:lineRule="auto"/>
        <w:ind w:left="720" w:hanging="360"/>
        <w:rPr>
          <w:sz w:val="24"/>
          <w:szCs w:val="24"/>
        </w:rPr>
      </w:pPr>
      <w:r w:rsidDel="00000000" w:rsidR="00000000" w:rsidRPr="00000000">
        <w:rPr>
          <w:sz w:val="24"/>
          <w:szCs w:val="24"/>
          <w:rtl w:val="0"/>
        </w:rPr>
        <w:t xml:space="preserve">Calle Mallard. desde el puente Mallard Drive al suroeste 150’ (30.44084, -96.55978)</w:t>
      </w:r>
    </w:p>
    <w:p w:rsidR="00000000" w:rsidDel="00000000" w:rsidP="00000000" w:rsidRDefault="00000000" w:rsidRPr="00000000" w14:paraId="0000001C">
      <w:pPr>
        <w:widowControl w:val="1"/>
        <w:spacing w:after="0" w:lineRule="auto"/>
        <w:rPr>
          <w:sz w:val="24"/>
          <w:szCs w:val="24"/>
        </w:rPr>
      </w:pPr>
      <w:r w:rsidDel="00000000" w:rsidR="00000000" w:rsidRPr="00000000">
        <w:rPr>
          <w:rtl w:val="0"/>
        </w:rPr>
      </w:r>
    </w:p>
    <w:p w:rsidR="00000000" w:rsidDel="00000000" w:rsidP="00000000" w:rsidRDefault="00000000" w:rsidRPr="00000000" w14:paraId="0000001D">
      <w:pPr>
        <w:widowControl w:val="1"/>
        <w:spacing w:after="0" w:lineRule="auto"/>
        <w:rPr>
          <w:sz w:val="24"/>
          <w:szCs w:val="24"/>
        </w:rPr>
      </w:pPr>
      <w:r w:rsidDel="00000000" w:rsidR="00000000" w:rsidRPr="00000000">
        <w:rPr>
          <w:sz w:val="24"/>
          <w:szCs w:val="24"/>
          <w:rtl w:val="0"/>
        </w:rPr>
        <w:t xml:space="preserve">Descripción del proyecto propuesto [24 CFR 50.12 y 58.32; 40 CFR 1508.25]: </w:t>
      </w:r>
    </w:p>
    <w:p w:rsidR="00000000" w:rsidDel="00000000" w:rsidP="00000000" w:rsidRDefault="00000000" w:rsidRPr="00000000" w14:paraId="0000001E">
      <w:pPr>
        <w:widowControl w:val="1"/>
        <w:spacing w:after="0" w:lineRule="auto"/>
        <w:rPr>
          <w:sz w:val="24"/>
          <w:szCs w:val="24"/>
          <w:u w:val="single"/>
        </w:rPr>
      </w:pPr>
      <w:r w:rsidDel="00000000" w:rsidR="00000000" w:rsidRPr="00000000">
        <w:rPr>
          <w:sz w:val="24"/>
          <w:szCs w:val="24"/>
          <w:u w:val="single"/>
          <w:rtl w:val="0"/>
        </w:rPr>
        <w:t xml:space="preserve">Mejoras en inundaciones y drenajes</w:t>
      </w:r>
    </w:p>
    <w:p w:rsidR="00000000" w:rsidDel="00000000" w:rsidP="00000000" w:rsidRDefault="00000000" w:rsidRPr="00000000" w14:paraId="0000001F">
      <w:pPr>
        <w:widowControl w:val="1"/>
        <w:spacing w:after="0" w:lineRule="auto"/>
        <w:rPr>
          <w:sz w:val="24"/>
          <w:szCs w:val="24"/>
        </w:rPr>
      </w:pPr>
      <w:r w:rsidDel="00000000" w:rsidR="00000000" w:rsidRPr="00000000">
        <w:rPr>
          <w:rtl w:val="0"/>
        </w:rPr>
      </w:r>
    </w:p>
    <w:p w:rsidR="00000000" w:rsidDel="00000000" w:rsidP="00000000" w:rsidRDefault="00000000" w:rsidRPr="00000000" w14:paraId="00000020">
      <w:pPr>
        <w:widowControl w:val="1"/>
        <w:spacing w:after="0" w:lineRule="auto"/>
        <w:rPr>
          <w:sz w:val="24"/>
          <w:szCs w:val="24"/>
        </w:rPr>
      </w:pPr>
      <w:r w:rsidDel="00000000" w:rsidR="00000000" w:rsidRPr="00000000">
        <w:rPr>
          <w:sz w:val="24"/>
          <w:szCs w:val="24"/>
          <w:rtl w:val="0"/>
        </w:rPr>
        <w:t xml:space="preserve">Mejoras en la calle Chestnut Dr. y en el drenaje</w:t>
      </w:r>
    </w:p>
    <w:p w:rsidR="00000000" w:rsidDel="00000000" w:rsidP="00000000" w:rsidRDefault="00000000" w:rsidRPr="00000000" w14:paraId="00000021">
      <w:pPr>
        <w:widowControl w:val="1"/>
        <w:spacing w:after="0" w:lineRule="auto"/>
        <w:rPr>
          <w:sz w:val="24"/>
          <w:szCs w:val="24"/>
        </w:rPr>
      </w:pPr>
      <w:r w:rsidDel="00000000" w:rsidR="00000000" w:rsidRPr="00000000">
        <w:rPr>
          <w:sz w:val="24"/>
          <w:szCs w:val="24"/>
          <w:rtl w:val="0"/>
        </w:rPr>
        <w:t xml:space="preserve">El subreceptor estabilizará la subrasante, instalará roca triturada y zanjas de drenaje, y completará</w:t>
      </w:r>
    </w:p>
    <w:p w:rsidR="00000000" w:rsidDel="00000000" w:rsidP="00000000" w:rsidRDefault="00000000" w:rsidRPr="00000000" w14:paraId="00000022">
      <w:pPr>
        <w:widowControl w:val="1"/>
        <w:spacing w:after="0" w:lineRule="auto"/>
        <w:rPr>
          <w:sz w:val="24"/>
          <w:szCs w:val="24"/>
        </w:rPr>
      </w:pPr>
      <w:r w:rsidDel="00000000" w:rsidR="00000000" w:rsidRPr="00000000">
        <w:rPr>
          <w:sz w:val="24"/>
          <w:szCs w:val="24"/>
          <w:rtl w:val="0"/>
        </w:rPr>
        <w:t xml:space="preserve">accesorios asociados.  </w:t>
      </w:r>
    </w:p>
    <w:p w:rsidR="00000000" w:rsidDel="00000000" w:rsidP="00000000" w:rsidRDefault="00000000" w:rsidRPr="00000000" w14:paraId="00000023">
      <w:pPr>
        <w:widowControl w:val="1"/>
        <w:spacing w:after="0" w:lineRule="auto"/>
        <w:rPr>
          <w:sz w:val="24"/>
          <w:szCs w:val="24"/>
        </w:rPr>
      </w:pPr>
      <w:r w:rsidDel="00000000" w:rsidR="00000000" w:rsidRPr="00000000">
        <w:rPr>
          <w:rtl w:val="0"/>
        </w:rPr>
      </w:r>
    </w:p>
    <w:p w:rsidR="00000000" w:rsidDel="00000000" w:rsidP="00000000" w:rsidRDefault="00000000" w:rsidRPr="00000000" w14:paraId="00000024">
      <w:pPr>
        <w:widowControl w:val="1"/>
        <w:numPr>
          <w:ilvl w:val="0"/>
          <w:numId w:val="1"/>
        </w:numPr>
        <w:spacing w:after="0" w:lineRule="auto"/>
        <w:ind w:left="720" w:hanging="360"/>
        <w:rPr>
          <w:sz w:val="24"/>
          <w:szCs w:val="24"/>
        </w:rPr>
      </w:pPr>
      <w:r w:rsidDel="00000000" w:rsidR="00000000" w:rsidRPr="00000000">
        <w:rPr>
          <w:sz w:val="24"/>
          <w:szCs w:val="24"/>
          <w:rtl w:val="0"/>
        </w:rPr>
        <w:t xml:space="preserve">Roca triturada - 2.000 TONELADAS</w:t>
      </w:r>
    </w:p>
    <w:p w:rsidR="00000000" w:rsidDel="00000000" w:rsidP="00000000" w:rsidRDefault="00000000" w:rsidRPr="00000000" w14:paraId="00000025">
      <w:pPr>
        <w:widowControl w:val="1"/>
        <w:numPr>
          <w:ilvl w:val="0"/>
          <w:numId w:val="1"/>
        </w:numPr>
        <w:spacing w:after="0" w:lineRule="auto"/>
        <w:ind w:left="720" w:hanging="360"/>
        <w:rPr>
          <w:sz w:val="24"/>
          <w:szCs w:val="24"/>
        </w:rPr>
      </w:pPr>
      <w:r w:rsidDel="00000000" w:rsidR="00000000" w:rsidRPr="00000000">
        <w:rPr>
          <w:sz w:val="24"/>
          <w:szCs w:val="24"/>
          <w:rtl w:val="0"/>
        </w:rPr>
        <w:t xml:space="preserve">Cemento - 80 TONELADAS</w:t>
      </w:r>
    </w:p>
    <w:p w:rsidR="00000000" w:rsidDel="00000000" w:rsidP="00000000" w:rsidRDefault="00000000" w:rsidRPr="00000000" w14:paraId="00000026">
      <w:pPr>
        <w:widowControl w:val="1"/>
        <w:spacing w:after="0" w:lineRule="auto"/>
        <w:rPr>
          <w:sz w:val="24"/>
          <w:szCs w:val="24"/>
        </w:rPr>
      </w:pPr>
      <w:r w:rsidDel="00000000" w:rsidR="00000000" w:rsidRPr="00000000">
        <w:rPr>
          <w:rtl w:val="0"/>
        </w:rPr>
      </w:r>
    </w:p>
    <w:p w:rsidR="00000000" w:rsidDel="00000000" w:rsidP="00000000" w:rsidRDefault="00000000" w:rsidRPr="00000000" w14:paraId="00000027">
      <w:pPr>
        <w:widowControl w:val="1"/>
        <w:spacing w:after="0" w:lineRule="auto"/>
        <w:rPr>
          <w:sz w:val="24"/>
          <w:szCs w:val="24"/>
        </w:rPr>
      </w:pPr>
      <w:r w:rsidDel="00000000" w:rsidR="00000000" w:rsidRPr="00000000">
        <w:rPr>
          <w:sz w:val="24"/>
          <w:szCs w:val="24"/>
          <w:rtl w:val="0"/>
        </w:rPr>
        <w:t xml:space="preserve">Calle Mallard. Mejoras a calles y drenajes:</w:t>
      </w:r>
    </w:p>
    <w:p w:rsidR="00000000" w:rsidDel="00000000" w:rsidP="00000000" w:rsidRDefault="00000000" w:rsidRPr="00000000" w14:paraId="00000028">
      <w:pPr>
        <w:widowControl w:val="1"/>
        <w:spacing w:after="0" w:lineRule="auto"/>
        <w:rPr>
          <w:sz w:val="24"/>
          <w:szCs w:val="24"/>
        </w:rPr>
      </w:pPr>
      <w:r w:rsidDel="00000000" w:rsidR="00000000" w:rsidRPr="00000000">
        <w:rPr>
          <w:sz w:val="24"/>
          <w:szCs w:val="24"/>
          <w:rtl w:val="0"/>
        </w:rPr>
        <w:t xml:space="preserve">El subreceptor elevará el camino; instalar alcantarillas tipo caja, barandillas y estabilizadores de carreteras; y</w:t>
      </w:r>
    </w:p>
    <w:p w:rsidR="00000000" w:rsidDel="00000000" w:rsidP="00000000" w:rsidRDefault="00000000" w:rsidRPr="00000000" w14:paraId="00000029">
      <w:pPr>
        <w:widowControl w:val="1"/>
        <w:spacing w:after="0" w:lineRule="auto"/>
        <w:rPr>
          <w:sz w:val="24"/>
          <w:szCs w:val="24"/>
        </w:rPr>
      </w:pPr>
      <w:r w:rsidDel="00000000" w:rsidR="00000000" w:rsidRPr="00000000">
        <w:rPr>
          <w:sz w:val="24"/>
          <w:szCs w:val="24"/>
          <w:rtl w:val="0"/>
        </w:rPr>
        <w:t xml:space="preserve">accesorios asociados completos.  </w:t>
      </w:r>
    </w:p>
    <w:p w:rsidR="00000000" w:rsidDel="00000000" w:rsidP="00000000" w:rsidRDefault="00000000" w:rsidRPr="00000000" w14:paraId="0000002A">
      <w:pPr>
        <w:widowControl w:val="1"/>
        <w:spacing w:after="0" w:lineRule="auto"/>
        <w:rPr>
          <w:sz w:val="24"/>
          <w:szCs w:val="24"/>
        </w:rPr>
      </w:pPr>
      <w:r w:rsidDel="00000000" w:rsidR="00000000" w:rsidRPr="00000000">
        <w:rPr>
          <w:rtl w:val="0"/>
        </w:rPr>
      </w:r>
    </w:p>
    <w:p w:rsidR="00000000" w:rsidDel="00000000" w:rsidP="00000000" w:rsidRDefault="00000000" w:rsidRPr="00000000" w14:paraId="0000002B">
      <w:pPr>
        <w:widowControl w:val="1"/>
        <w:numPr>
          <w:ilvl w:val="0"/>
          <w:numId w:val="2"/>
        </w:numPr>
        <w:spacing w:after="0" w:lineRule="auto"/>
        <w:ind w:left="720" w:hanging="360"/>
        <w:rPr>
          <w:sz w:val="24"/>
          <w:szCs w:val="24"/>
        </w:rPr>
      </w:pPr>
      <w:r w:rsidDel="00000000" w:rsidR="00000000" w:rsidRPr="00000000">
        <w:rPr>
          <w:sz w:val="24"/>
          <w:szCs w:val="24"/>
          <w:rtl w:val="0"/>
        </w:rPr>
        <w:t xml:space="preserve">Alcantarillas tipo caja de 10’x10’ - 150 LF</w:t>
      </w:r>
    </w:p>
    <w:p w:rsidR="00000000" w:rsidDel="00000000" w:rsidP="00000000" w:rsidRDefault="00000000" w:rsidRPr="00000000" w14:paraId="0000002C">
      <w:pPr>
        <w:widowControl w:val="1"/>
        <w:numPr>
          <w:ilvl w:val="0"/>
          <w:numId w:val="2"/>
        </w:numPr>
        <w:spacing w:after="0" w:lineRule="auto"/>
        <w:ind w:left="720" w:hanging="360"/>
        <w:rPr>
          <w:sz w:val="24"/>
          <w:szCs w:val="24"/>
        </w:rPr>
      </w:pPr>
      <w:r w:rsidDel="00000000" w:rsidR="00000000" w:rsidRPr="00000000">
        <w:rPr>
          <w:sz w:val="24"/>
          <w:szCs w:val="24"/>
          <w:rtl w:val="0"/>
        </w:rPr>
        <w:t xml:space="preserve">Arena estabilizada con cemento - 25 TON</w:t>
      </w:r>
    </w:p>
    <w:p w:rsidR="00000000" w:rsidDel="00000000" w:rsidP="00000000" w:rsidRDefault="00000000" w:rsidRPr="00000000" w14:paraId="0000002D">
      <w:pPr>
        <w:widowControl w:val="1"/>
        <w:numPr>
          <w:ilvl w:val="0"/>
          <w:numId w:val="2"/>
        </w:numPr>
        <w:spacing w:after="0" w:lineRule="auto"/>
        <w:ind w:left="720" w:hanging="360"/>
        <w:rPr>
          <w:sz w:val="24"/>
          <w:szCs w:val="24"/>
        </w:rPr>
      </w:pPr>
      <w:r w:rsidDel="00000000" w:rsidR="00000000" w:rsidRPr="00000000">
        <w:rPr>
          <w:sz w:val="24"/>
          <w:szCs w:val="24"/>
          <w:rtl w:val="0"/>
        </w:rPr>
        <w:t xml:space="preserve">Seleccione Relleno - 1,100 TONELADAS</w:t>
      </w:r>
    </w:p>
    <w:p w:rsidR="00000000" w:rsidDel="00000000" w:rsidP="00000000" w:rsidRDefault="00000000" w:rsidRPr="00000000" w14:paraId="0000002E">
      <w:pPr>
        <w:widowControl w:val="1"/>
        <w:numPr>
          <w:ilvl w:val="0"/>
          <w:numId w:val="2"/>
        </w:numPr>
        <w:spacing w:after="0" w:lineRule="auto"/>
        <w:ind w:left="720" w:hanging="360"/>
        <w:rPr>
          <w:sz w:val="24"/>
          <w:szCs w:val="24"/>
        </w:rPr>
      </w:pPr>
      <w:r w:rsidDel="00000000" w:rsidR="00000000" w:rsidRPr="00000000">
        <w:rPr>
          <w:sz w:val="24"/>
          <w:szCs w:val="24"/>
          <w:rtl w:val="0"/>
        </w:rPr>
        <w:t xml:space="preserve">Roca triturada - 1.300 TONELADAS</w:t>
      </w:r>
    </w:p>
    <w:p w:rsidR="00000000" w:rsidDel="00000000" w:rsidP="00000000" w:rsidRDefault="00000000" w:rsidRPr="00000000" w14:paraId="0000002F">
      <w:pPr>
        <w:widowControl w:val="1"/>
        <w:spacing w:after="0" w:lineRule="auto"/>
        <w:rPr>
          <w:b w:val="1"/>
          <w:sz w:val="24"/>
          <w:szCs w:val="24"/>
        </w:rPr>
      </w:pPr>
      <w:r w:rsidDel="00000000" w:rsidR="00000000" w:rsidRPr="00000000">
        <w:rPr>
          <w:rtl w:val="0"/>
        </w:rPr>
      </w:r>
    </w:p>
    <w:p w:rsidR="00000000" w:rsidDel="00000000" w:rsidP="00000000" w:rsidRDefault="00000000" w:rsidRPr="00000000" w14:paraId="00000030">
      <w:pPr>
        <w:spacing w:after="0" w:lineRule="auto"/>
        <w:rPr>
          <w:b w:val="1"/>
          <w:sz w:val="24"/>
          <w:szCs w:val="24"/>
        </w:rPr>
      </w:pPr>
      <w:r w:rsidDel="00000000" w:rsidR="00000000" w:rsidRPr="00000000">
        <w:rPr>
          <w:b w:val="1"/>
          <w:sz w:val="24"/>
          <w:szCs w:val="24"/>
          <w:rtl w:val="0"/>
        </w:rPr>
        <w:t xml:space="preserve">Costo de previsión del proyecto</w:t>
      </w:r>
      <w:r w:rsidDel="00000000" w:rsidR="00000000" w:rsidRPr="00000000">
        <w:rPr>
          <w:sz w:val="24"/>
          <w:szCs w:val="24"/>
          <w:rtl w:val="0"/>
        </w:rPr>
        <w:t xml:space="preserve">: $1,076,300 y se pagará con $1,076,300 en fondos de subvención HUD CDBG-MIT administrados por la Oficina General de Tierras.</w:t>
      </w:r>
      <w:r w:rsidDel="00000000" w:rsidR="00000000" w:rsidRPr="00000000">
        <w:rPr>
          <w:rtl w:val="0"/>
        </w:rPr>
      </w:r>
    </w:p>
    <w:p w:rsidR="00000000" w:rsidDel="00000000" w:rsidP="00000000" w:rsidRDefault="00000000" w:rsidRPr="00000000" w14:paraId="00000031">
      <w:pPr>
        <w:spacing w:after="0" w:lineRule="auto"/>
        <w:rPr>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sz w:val="24"/>
          <w:szCs w:val="24"/>
          <w:u w:val="single"/>
          <w:rtl w:val="0"/>
        </w:rPr>
        <w:t xml:space="preserve">Problemas del proyecto</w:t>
      </w:r>
      <w:r w:rsidDel="00000000" w:rsidR="00000000" w:rsidRPr="00000000">
        <w:rPr>
          <w:sz w:val="24"/>
          <w:szCs w:val="24"/>
          <w:rtl w:val="0"/>
        </w:rPr>
        <w:t xml:space="preserve">: Especies en peligro de extinción, gestión de llanuras aluviales y preservación histórica: se puede encontrar una lista completa y detallada de medidas de mitigación en el Registro de revisión ambiental.</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34">
      <w:pPr>
        <w:spacing w:after="0" w:lineRule="auto"/>
        <w:rPr>
          <w:sz w:val="24"/>
          <w:szCs w:val="24"/>
          <w:u w:val="single"/>
        </w:rPr>
      </w:pPr>
      <w:r w:rsidDel="00000000" w:rsidR="00000000" w:rsidRPr="00000000">
        <w:rPr>
          <w:sz w:val="24"/>
          <w:szCs w:val="24"/>
          <w:u w:val="single"/>
          <w:rtl w:val="0"/>
        </w:rPr>
        <w:t xml:space="preserve">Tamaño del proyecto y beneficiarios</w:t>
      </w:r>
    </w:p>
    <w:p w:rsidR="00000000" w:rsidDel="00000000" w:rsidP="00000000" w:rsidRDefault="00000000" w:rsidRPr="00000000" w14:paraId="00000035">
      <w:pPr>
        <w:spacing w:after="0" w:lineRule="auto"/>
        <w:rPr>
          <w:sz w:val="24"/>
          <w:szCs w:val="24"/>
        </w:rPr>
      </w:pPr>
      <w:r w:rsidDel="00000000" w:rsidR="00000000" w:rsidRPr="00000000">
        <w:rPr>
          <w:sz w:val="24"/>
          <w:szCs w:val="24"/>
          <w:rtl w:val="0"/>
        </w:rPr>
        <w:t xml:space="preserve">El área total de perturbación será de 7,0 acres y afectará a 598 personas. De esas personas, </w:t>
      </w:r>
    </w:p>
    <w:p w:rsidR="00000000" w:rsidDel="00000000" w:rsidP="00000000" w:rsidRDefault="00000000" w:rsidRPr="00000000" w14:paraId="00000036">
      <w:pPr>
        <w:spacing w:after="0" w:lineRule="auto"/>
        <w:rPr>
          <w:sz w:val="24"/>
          <w:szCs w:val="24"/>
        </w:rPr>
      </w:pPr>
      <w:r w:rsidDel="00000000" w:rsidR="00000000" w:rsidRPr="00000000">
        <w:rPr>
          <w:sz w:val="24"/>
          <w:szCs w:val="24"/>
          <w:rtl w:val="0"/>
        </w:rPr>
        <w:t xml:space="preserve">392 o (65,55%) son de ingresos bajos a moderados.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Rule="auto"/>
        <w:rPr>
          <w:b w:val="1"/>
          <w:sz w:val="28"/>
          <w:szCs w:val="28"/>
          <w:u w:val="single"/>
        </w:rPr>
      </w:pPr>
      <w:r w:rsidDel="00000000" w:rsidR="00000000" w:rsidRPr="00000000">
        <w:rPr>
          <w:rtl w:val="0"/>
        </w:rPr>
      </w:r>
    </w:p>
    <w:p w:rsidR="00000000" w:rsidDel="00000000" w:rsidP="00000000" w:rsidRDefault="00000000" w:rsidRPr="00000000" w14:paraId="00000038">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Rule="auto"/>
        <w:jc w:val="center"/>
        <w:rPr>
          <w:sz w:val="24"/>
          <w:szCs w:val="24"/>
        </w:rPr>
      </w:pPr>
      <w:r w:rsidDel="00000000" w:rsidR="00000000" w:rsidRPr="00000000">
        <w:rPr>
          <w:sz w:val="24"/>
          <w:szCs w:val="24"/>
          <w:rtl w:val="0"/>
        </w:rPr>
        <w:t xml:space="preserve">HALLAZGO DE NO IMPACTO SIGNIFICATIVO</w:t>
      </w:r>
    </w:p>
    <w:p w:rsidR="00000000" w:rsidDel="00000000" w:rsidP="00000000" w:rsidRDefault="00000000" w:rsidRPr="00000000" w14:paraId="00000039">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b w:val="0"/>
          <w:sz w:val="24"/>
          <w:szCs w:val="24"/>
          <w:rtl w:val="0"/>
        </w:rPr>
        <w:t xml:space="preserve">Condado de Burleson</w:t>
      </w:r>
      <w:r w:rsidDel="00000000" w:rsidR="00000000" w:rsidRPr="00000000">
        <w:rPr>
          <w:b w:val="0"/>
          <w:i w:val="1"/>
          <w:sz w:val="24"/>
          <w:szCs w:val="24"/>
          <w:rtl w:val="0"/>
        </w:rPr>
        <w:t xml:space="preserve"> </w:t>
      </w:r>
      <w:r w:rsidDel="00000000" w:rsidR="00000000" w:rsidRPr="00000000">
        <w:rPr>
          <w:b w:val="0"/>
          <w:sz w:val="24"/>
          <w:szCs w:val="24"/>
          <w:rtl w:val="0"/>
        </w:rPr>
        <w:t xml:space="preserve">ha determinado que el proyecto no tendrá ningún impacto significativo en el medio ambiente humano.  Por lo tanto, no se requiere una Declaración de Impacto Ambiental según la Ley de Política Ambiental Nacional de 1969 (NEPA).  Información adicional del proyecto está contenida en el Registro de Revisión Ambiental (ERR) archivado en </w:t>
      </w:r>
      <w:r w:rsidDel="00000000" w:rsidR="00000000" w:rsidRPr="00000000">
        <w:rPr>
          <w:sz w:val="24"/>
          <w:szCs w:val="24"/>
          <w:rtl w:val="0"/>
        </w:rPr>
        <w:t xml:space="preserve">Condado de Burleson, 100 West Buck St., Caldwell, TX </w:t>
      </w:r>
      <w:r w:rsidDel="00000000" w:rsidR="00000000" w:rsidRPr="00000000">
        <w:rPr>
          <w:b w:val="0"/>
          <w:sz w:val="24"/>
          <w:szCs w:val="24"/>
          <w:rtl w:val="0"/>
        </w:rPr>
        <w:t xml:space="preserve">y se puede examinar o copiar de lunes a viernes de 9 a. m. a 4 p. m. </w:t>
      </w:r>
      <w:r w:rsidDel="00000000" w:rsidR="00000000" w:rsidRPr="00000000">
        <w:rPr>
          <w:rtl w:val="0"/>
        </w:rPr>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76" w:lineRule="auto"/>
        <w:jc w:val="center"/>
        <w:rPr>
          <w:sz w:val="24"/>
          <w:szCs w:val="24"/>
        </w:rPr>
      </w:pPr>
      <w:r w:rsidDel="00000000" w:rsidR="00000000" w:rsidRPr="00000000">
        <w:rPr>
          <w:b w:val="1"/>
          <w:sz w:val="24"/>
          <w:szCs w:val="24"/>
          <w:rtl w:val="0"/>
        </w:rPr>
        <w:t xml:space="preserve">COMENTARIOS PÚBLICOS</w:t>
      </w:r>
      <w:r w:rsidDel="00000000" w:rsidR="00000000" w:rsidRPr="00000000">
        <w:rPr>
          <w:rtl w:val="0"/>
        </w:rPr>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hd w:fill="auto" w:val="clear"/>
        <w:spacing w:after="0" w:lineRule="auto"/>
        <w:rPr>
          <w:i w:val="1"/>
          <w:sz w:val="24"/>
          <w:szCs w:val="24"/>
        </w:rPr>
      </w:pPr>
      <w:r w:rsidDel="00000000" w:rsidR="00000000" w:rsidRPr="00000000">
        <w:rPr>
          <w:sz w:val="24"/>
          <w:szCs w:val="24"/>
          <w:rtl w:val="0"/>
        </w:rPr>
        <w:t xml:space="preserve">Cualquier individuo, grupo o agencia puede enviar comentarios por escrito sobre la ERR a </w:t>
      </w:r>
      <w:r w:rsidDel="00000000" w:rsidR="00000000" w:rsidRPr="00000000">
        <w:rPr>
          <w:b w:val="1"/>
          <w:sz w:val="24"/>
          <w:szCs w:val="24"/>
          <w:rtl w:val="0"/>
        </w:rPr>
        <w:t xml:space="preserve">condado de burleson, 100 West Buck St., Caldwell, Texas 77836.</w:t>
      </w:r>
      <w:r w:rsidDel="00000000" w:rsidR="00000000" w:rsidRPr="00000000">
        <w:rPr>
          <w:i w:val="1"/>
          <w:sz w:val="24"/>
          <w:szCs w:val="24"/>
          <w:rtl w:val="0"/>
        </w:rPr>
        <w:t xml:space="preserve"> </w:t>
      </w:r>
      <w:r w:rsidDel="00000000" w:rsidR="00000000" w:rsidRPr="00000000">
        <w:rPr>
          <w:sz w:val="24"/>
          <w:szCs w:val="24"/>
          <w:rtl w:val="0"/>
        </w:rPr>
        <w:t xml:space="preserve">Todos los comentarios recibidos por </w:t>
      </w:r>
      <w:r w:rsidDel="00000000" w:rsidR="00000000" w:rsidRPr="00000000">
        <w:rPr>
          <w:b w:val="1"/>
          <w:sz w:val="24"/>
          <w:szCs w:val="24"/>
          <w:rtl w:val="0"/>
        </w:rPr>
        <w:t xml:space="preserve">11 de febrero de 2025 </w:t>
      </w:r>
      <w:r w:rsidDel="00000000" w:rsidR="00000000" w:rsidRPr="00000000">
        <w:rPr>
          <w:sz w:val="24"/>
          <w:szCs w:val="24"/>
          <w:rtl w:val="0"/>
        </w:rPr>
        <w:t xml:space="preserve">o dentro de los dieciocho (18) días siguientes a esta publicación (lo que ocurra más tarde)</w:t>
      </w:r>
      <w:r w:rsidDel="00000000" w:rsidR="00000000" w:rsidRPr="00000000">
        <w:rPr>
          <w:sz w:val="24"/>
          <w:szCs w:val="24"/>
          <w:rtl w:val="0"/>
        </w:rPr>
        <w:t xml:space="preserve"> será considerado por el Condado de Burleson antes de autorizar la presentación de una solicitud de liberación de fondos.  Los comentarios deben especificar a qué parte de este Aviso se refieren.</w:t>
      </w:r>
      <w:r w:rsidDel="00000000" w:rsidR="00000000" w:rsidRPr="00000000">
        <w:rPr>
          <w:rtl w:val="0"/>
        </w:rPr>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3E">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Rule="auto"/>
        <w:jc w:val="center"/>
        <w:rPr>
          <w:sz w:val="24"/>
          <w:szCs w:val="24"/>
        </w:rPr>
      </w:pPr>
      <w:r w:rsidDel="00000000" w:rsidR="00000000" w:rsidRPr="00000000">
        <w:rPr>
          <w:sz w:val="24"/>
          <w:szCs w:val="24"/>
          <w:rtl w:val="0"/>
        </w:rPr>
        <w:t xml:space="preserve">CERTIFICACIÓN AMBIENTAL</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sz w:val="24"/>
          <w:szCs w:val="24"/>
          <w:rtl w:val="0"/>
        </w:rPr>
        <w:t xml:space="preserve">El condado de Burleson certifica a GLO que </w:t>
      </w:r>
      <w:r w:rsidDel="00000000" w:rsidR="00000000" w:rsidRPr="00000000">
        <w:rPr>
          <w:b w:val="1"/>
          <w:sz w:val="24"/>
          <w:szCs w:val="24"/>
          <w:rtl w:val="0"/>
        </w:rPr>
        <w:t xml:space="preserve">Keith Schroede</w:t>
      </w:r>
      <w:r w:rsidDel="00000000" w:rsidR="00000000" w:rsidRPr="00000000">
        <w:rPr>
          <w:sz w:val="24"/>
          <w:szCs w:val="24"/>
          <w:rtl w:val="0"/>
        </w:rPr>
        <w:t xml:space="preserve">r</w:t>
      </w:r>
      <w:r w:rsidDel="00000000" w:rsidR="00000000" w:rsidRPr="00000000">
        <w:rPr>
          <w:b w:val="1"/>
          <w:sz w:val="24"/>
          <w:szCs w:val="24"/>
          <w:rtl w:val="0"/>
        </w:rPr>
        <w:t xml:space="preserve">,</w:t>
      </w:r>
      <w:r w:rsidDel="00000000" w:rsidR="00000000" w:rsidRPr="00000000">
        <w:rPr>
          <w:sz w:val="24"/>
          <w:szCs w:val="24"/>
          <w:rtl w:val="0"/>
        </w:rPr>
        <w:t xml:space="preserve"> en su calidad de, </w:t>
      </w:r>
      <w:r w:rsidDel="00000000" w:rsidR="00000000" w:rsidRPr="00000000">
        <w:rPr>
          <w:b w:val="1"/>
          <w:sz w:val="24"/>
          <w:szCs w:val="24"/>
          <w:rtl w:val="0"/>
        </w:rPr>
        <w:t xml:space="preserve">Juez del condado, </w:t>
      </w:r>
      <w:r w:rsidDel="00000000" w:rsidR="00000000" w:rsidRPr="00000000">
        <w:rPr>
          <w:sz w:val="24"/>
          <w:szCs w:val="24"/>
          <w:rtl w:val="0"/>
        </w:rPr>
        <w:t xml:space="preserve">consiente en aceptar la jurisdicción de los Tribunales Federales si se inicia una acción para hacer cumplir las responsabilidades en relación con el proceso de revisión ambiental y que dichas responsabilidades han sido satisfechas.  La aprobación de la certificación por parte de GLO satisface sus responsabilidades según la NEPA y las leyes y autoridades relacionadas y permite al condado de Burleson utilizar los fondos del programa.</w:t>
      </w:r>
    </w:p>
    <w:p w:rsidR="00000000" w:rsidDel="00000000" w:rsidP="00000000" w:rsidRDefault="00000000" w:rsidRPr="00000000" w14:paraId="00000040">
      <w:pPr>
        <w:pageBreakBefore w:val="0"/>
        <w:widowControl w:val="1"/>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41">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Rule="auto"/>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OBJECIONES A LA LIBERACIÓN DE FONDOS</w:t>
      </w:r>
    </w:p>
    <w:p w:rsidR="00000000" w:rsidDel="00000000" w:rsidP="00000000" w:rsidRDefault="00000000" w:rsidRPr="00000000" w14:paraId="0000004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Rule="auto"/>
        <w:rPr>
          <w:b w:val="0"/>
          <w:sz w:val="24"/>
          <w:szCs w:val="24"/>
        </w:rPr>
      </w:pPr>
      <w:bookmarkStart w:colFirst="0" w:colLast="0" w:name="_30j0zll" w:id="1"/>
      <w:bookmarkEnd w:id="1"/>
      <w:r w:rsidDel="00000000" w:rsidR="00000000" w:rsidRPr="00000000">
        <w:rPr>
          <w:b w:val="0"/>
          <w:sz w:val="24"/>
          <w:szCs w:val="24"/>
          <w:rtl w:val="0"/>
        </w:rPr>
        <w:t xml:space="preserve">GLO aceptará objeciones a su liberación de fondos y al condado de Burleson</w:t>
      </w:r>
      <w:r w:rsidDel="00000000" w:rsidR="00000000" w:rsidRPr="00000000">
        <w:rPr>
          <w:sz w:val="24"/>
          <w:szCs w:val="24"/>
          <w:rtl w:val="0"/>
        </w:rPr>
        <w:t xml:space="preserve">'s</w:t>
      </w:r>
      <w:r w:rsidDel="00000000" w:rsidR="00000000" w:rsidRPr="00000000">
        <w:rPr>
          <w:b w:val="0"/>
          <w:sz w:val="24"/>
          <w:szCs w:val="24"/>
          <w:rtl w:val="0"/>
        </w:rPr>
        <w:t xml:space="preserve"> certificación por un período de quince días después de la fecha de presentación anticipada o de la recepción real de la solicitud (lo que ocurra más tarde) solo si se basan en una de las siguientes bases: (a) la certificación no fue ejecutada por el Oficial Certificador del Condado de Burleson ; (b) El condado de Burleson ha omitido un paso o no ha tomado una decisión o hallazgo requerido por las regulaciones del HUD en 24 CFR parte 58; (c) el beneficiario de la subvención u otros participantes en el proceso de desarrollo han comprometido fondos, incurrido en costos o realizado actividades no autorizadas por 24 CFR Parte 58 antes de la aprobación de una liberación de fondos por parte de GLO; o (d) otra agencia federal que actúa de conformidad con 40 CFR Parte 1504 ha presentado una conclusión por escrito de que el proyecto es insatisfactorio desde el punto de vista de la calidad ambiental.  Las objeciones deben prepararse y presentarse de acuerdo con los procedimientos requeridos (24 CFR Parte 58, Sec. 58.76) y deben dirigirse a Heather Lagrone, Texas General Land Office, PO Box 12873, Austin, TX 78711-2873, </w:t>
      </w:r>
      <w:hyperlink r:id="rId6">
        <w:r w:rsidDel="00000000" w:rsidR="00000000" w:rsidRPr="00000000">
          <w:rPr>
            <w:b w:val="0"/>
            <w:sz w:val="24"/>
            <w:szCs w:val="24"/>
            <w:u w:val="single"/>
            <w:rtl w:val="0"/>
          </w:rPr>
          <w:t xml:space="preserve">env.reviews@recovery.texas.gov</w:t>
        </w:r>
      </w:hyperlink>
      <w:r w:rsidDel="00000000" w:rsidR="00000000" w:rsidRPr="00000000">
        <w:rPr>
          <w:b w:val="0"/>
          <w:sz w:val="24"/>
          <w:szCs w:val="24"/>
          <w:rtl w:val="0"/>
        </w:rPr>
        <w:t xml:space="preserve">.  Los posibles objetores deben comunicarse con GLO para verificar el último día real del período de objeción.</w:t>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shd w:fill="auto" w:val="clear"/>
        <w:spacing w:after="0" w:lineRule="auto"/>
        <w:rPr>
          <w:sz w:val="24"/>
          <w:szCs w:val="24"/>
        </w:rPr>
      </w:pPr>
      <w:r w:rsidDel="00000000" w:rsidR="00000000" w:rsidRPr="00000000">
        <w:rPr>
          <w:rtl w:val="0"/>
        </w:rPr>
      </w:r>
    </w:p>
    <w:p w:rsidR="00000000" w:rsidDel="00000000" w:rsidP="00000000" w:rsidRDefault="00000000" w:rsidRPr="00000000" w14:paraId="00000044">
      <w:pPr>
        <w:widowControl w:val="1"/>
        <w:spacing w:after="0" w:lineRule="auto"/>
        <w:rPr>
          <w:b w:val="1"/>
          <w:sz w:val="24"/>
          <w:szCs w:val="24"/>
          <w:shd w:fill="f3f3f3" w:val="clear"/>
        </w:rPr>
      </w:pPr>
      <w:r w:rsidDel="00000000" w:rsidR="00000000" w:rsidRPr="00000000">
        <w:rPr>
          <w:b w:val="1"/>
          <w:sz w:val="24"/>
          <w:szCs w:val="24"/>
          <w:rtl w:val="0"/>
        </w:rPr>
        <w:t xml:space="preserve">Keith Schroeder, juez del condado</w:t>
      </w:r>
      <w:r w:rsidDel="00000000" w:rsidR="00000000" w:rsidRPr="00000000">
        <w:rPr>
          <w:rtl w:val="0"/>
        </w:rPr>
      </w:r>
    </w:p>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hd w:fill="auto" w:val="clear"/>
        <w:spacing w:after="0" w:lineRule="auto"/>
        <w:rPr>
          <w:b w:val="1"/>
          <w:sz w:val="24"/>
          <w:szCs w:val="24"/>
          <w:shd w:fill="f3f3f3" w:val="clear"/>
        </w:rPr>
      </w:pPr>
      <w:r w:rsidDel="00000000" w:rsidR="00000000" w:rsidRPr="00000000">
        <w:rPr>
          <w:rtl w:val="0"/>
        </w:rPr>
      </w:r>
    </w:p>
    <w:p w:rsidR="00000000" w:rsidDel="00000000" w:rsidP="00000000" w:rsidRDefault="00000000" w:rsidRPr="00000000" w14:paraId="00000046">
      <w:pPr>
        <w:pageBreakBefore w:val="0"/>
        <w:widowControl w:val="1"/>
        <w:pBdr>
          <w:top w:space="0" w:sz="0" w:val="nil"/>
          <w:left w:space="0" w:sz="0" w:val="nil"/>
          <w:bottom w:space="0" w:sz="0" w:val="nil"/>
          <w:right w:space="0" w:sz="0" w:val="nil"/>
          <w:between w:space="0" w:sz="0" w:val="nil"/>
        </w:pBdr>
        <w:shd w:fill="auto" w:val="clear"/>
        <w:spacing w:after="0" w:lineRule="auto"/>
        <w:rPr>
          <w:b w:val="1"/>
          <w:sz w:val="24"/>
          <w:szCs w:val="24"/>
          <w:shd w:fill="f3f3f3" w:val="clear"/>
        </w:rPr>
      </w:pPr>
      <w:r w:rsidDel="00000000" w:rsidR="00000000" w:rsidRPr="00000000">
        <w:rPr>
          <w:rtl w:val="0"/>
        </w:rPr>
      </w:r>
    </w:p>
    <w:p w:rsidR="00000000" w:rsidDel="00000000" w:rsidP="00000000" w:rsidRDefault="00000000" w:rsidRPr="00000000" w14:paraId="00000047">
      <w:pPr>
        <w:pageBreakBefore w:val="0"/>
        <w:widowControl w:val="1"/>
        <w:spacing w:after="0" w:lineRule="auto"/>
        <w:rPr>
          <w:b w:val="1"/>
          <w:sz w:val="24"/>
          <w:szCs w:val="24"/>
          <w:shd w:fill="f3f3f3" w:val="clear"/>
        </w:rPr>
      </w:pPr>
      <w:r w:rsidDel="00000000" w:rsidR="00000000" w:rsidRPr="00000000">
        <w:rPr>
          <w:b w:val="1"/>
          <w:sz w:val="24"/>
          <w:szCs w:val="24"/>
          <w:shd w:fill="f3f3f3" w:val="clear"/>
          <w:rtl w:val="0"/>
        </w:rPr>
        <w:t xml:space="preserve">  </w:t>
      </w:r>
    </w:p>
    <w:sectPr>
      <w:pgSz w:h="15840" w:w="12240" w:orient="portrait"/>
      <w:pgMar w:bottom="72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
      </w:rPr>
    </w:rPrDefault>
    <w:pPrDefault>
      <w:pPr>
        <w:widowControl w:val="0"/>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0"/>
      <w:spacing w:after="80" w:before="360" w:lineRule="auto"/>
    </w:pPr>
    <w:rPr>
      <w:b w:val="1"/>
      <w:sz w:val="36"/>
      <w:szCs w:val="36"/>
    </w:rPr>
  </w:style>
  <w:style w:type="paragraph" w:styleId="Heading3">
    <w:name w:val="heading 3"/>
    <w:basedOn w:val="Normal"/>
    <w:next w:val="Normal"/>
    <w:pPr>
      <w:keepNext w:val="0"/>
      <w:keepLines w:val="0"/>
      <w:pageBreakBefore w:val="0"/>
      <w:widowControl w:val="0"/>
      <w:spacing w:after="80" w:before="280" w:lineRule="auto"/>
    </w:pPr>
    <w:rPr>
      <w:b w:val="1"/>
      <w:sz w:val="28"/>
      <w:szCs w:val="28"/>
    </w:rPr>
  </w:style>
  <w:style w:type="paragraph" w:styleId="Heading4">
    <w:name w:val="heading 4"/>
    <w:basedOn w:val="Normal"/>
    <w:next w:val="Normal"/>
    <w:pPr>
      <w:keepNext w:val="0"/>
      <w:keepLines w:val="0"/>
      <w:pageBreakBefore w:val="0"/>
      <w:widowControl w:val="0"/>
      <w:spacing w:after="40" w:before="240" w:lineRule="auto"/>
    </w:pPr>
    <w:rPr>
      <w:b w:val="1"/>
      <w:sz w:val="24"/>
      <w:szCs w:val="24"/>
    </w:rPr>
  </w:style>
  <w:style w:type="paragraph" w:styleId="Heading5">
    <w:name w:val="heading 5"/>
    <w:basedOn w:val="Normal"/>
    <w:next w:val="Normal"/>
    <w:pPr>
      <w:keepNext w:val="0"/>
      <w:keepLines w:val="0"/>
      <w:pageBreakBefore w:val="0"/>
      <w:widowControl w:val="0"/>
      <w:spacing w:after="40" w:before="220" w:lineRule="auto"/>
    </w:pPr>
    <w:rPr>
      <w:b w:val="1"/>
      <w:sz w:val="22"/>
      <w:szCs w:val="22"/>
    </w:rPr>
  </w:style>
  <w:style w:type="paragraph" w:styleId="Heading6">
    <w:name w:val="heading 6"/>
    <w:basedOn w:val="Normal"/>
    <w:next w:val="Normal"/>
    <w:pPr>
      <w:keepNext w:val="0"/>
      <w:keepLines w:val="0"/>
      <w:pageBreakBefore w:val="0"/>
      <w:widowControl w:val="0"/>
      <w:spacing w:after="40" w:before="200" w:lineRule="auto"/>
    </w:pPr>
    <w:rPr>
      <w:b w:val="1"/>
      <w:sz w:val="20"/>
      <w:szCs w:val="20"/>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nv.reviews@recovery.texas.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